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473A6E" w:rsidRDefault="00473A6E" w:rsidP="003B5A41">
      <w:pPr>
        <w:pStyle w:val="Title"/>
      </w:pPr>
      <w:bookmarkStart w:id="0" w:name="_GoBack"/>
      <w:bookmarkEnd w:id="0"/>
      <w:r w:rsidRPr="00473A6E">
        <w:t xml:space="preserve">Radio propagation channel for </w:t>
      </w:r>
      <w:r w:rsidR="005376B5">
        <w:t xml:space="preserve">the </w:t>
      </w:r>
      <w:r w:rsidRPr="00473A6E">
        <w:t xml:space="preserve">cellular </w:t>
      </w:r>
      <w:proofErr w:type="spellStart"/>
      <w:r w:rsidRPr="00473A6E">
        <w:t>IoT</w:t>
      </w:r>
      <w:proofErr w:type="spellEnd"/>
      <w:r w:rsidRPr="00473A6E">
        <w:t xml:space="preserve"> study</w:t>
      </w:r>
    </w:p>
    <w:p w:rsidR="003B5A41" w:rsidRDefault="00A32592" w:rsidP="003B5A41">
      <w:pPr>
        <w:pStyle w:val="Heading1"/>
        <w:rPr>
          <w:lang w:val="sv-SE"/>
        </w:rPr>
      </w:pPr>
      <w:r>
        <w:rPr>
          <w:lang w:val="sv-SE"/>
        </w:rPr>
        <w:t>Introduction</w:t>
      </w:r>
    </w:p>
    <w:p w:rsidR="00473A6E" w:rsidRDefault="005376B5" w:rsidP="00473A6E">
      <w:pPr>
        <w:pStyle w:val="BodyText"/>
      </w:pPr>
      <w:r w:rsidRPr="005376B5">
        <w:t xml:space="preserve">The radio propagation channel is an important </w:t>
      </w:r>
      <w:r>
        <w:t>part of the overall model that characterizes performance when carrying out link level, protocol level or system level simulations.</w:t>
      </w:r>
    </w:p>
    <w:p w:rsidR="009E4D4E" w:rsidRDefault="009E4D4E" w:rsidP="00473A6E">
      <w:pPr>
        <w:pStyle w:val="BodyText"/>
      </w:pPr>
      <w:r>
        <w:t xml:space="preserve">This is of special importance when considering the new deployment scenarios of devices considered in the cellular </w:t>
      </w:r>
      <w:proofErr w:type="spellStart"/>
      <w:r>
        <w:t>IoT</w:t>
      </w:r>
      <w:proofErr w:type="spellEnd"/>
      <w:r>
        <w:t xml:space="preserve"> study started in GERAN</w:t>
      </w:r>
      <w:r w:rsidR="008716E7">
        <w:t xml:space="preserve">, see </w:t>
      </w:r>
      <w:r w:rsidR="008716E7">
        <w:fldChar w:fldCharType="begin"/>
      </w:r>
      <w:r w:rsidR="008716E7">
        <w:instrText xml:space="preserve"> REF _Ref394318340 \r \h </w:instrText>
      </w:r>
      <w:r w:rsidR="008716E7">
        <w:fldChar w:fldCharType="separate"/>
      </w:r>
      <w:r w:rsidR="00D31CE9">
        <w:t>[5]</w:t>
      </w:r>
      <w:r w:rsidR="008716E7">
        <w:fldChar w:fldCharType="end"/>
      </w:r>
      <w:r>
        <w:t>, where a new radio interface is considered, that should be optimized for these deployments.</w:t>
      </w:r>
    </w:p>
    <w:p w:rsidR="005A56D1" w:rsidRDefault="005A56D1" w:rsidP="005A56D1">
      <w:pPr>
        <w:pStyle w:val="BodyText"/>
      </w:pPr>
      <w:r>
        <w:t>This document collects some information to be considered in the modelling of the radio propagation channel taps with regards to the Doppler behavior of the channel in a stationary scenario.</w:t>
      </w:r>
    </w:p>
    <w:p w:rsidR="003B5A41" w:rsidRDefault="005376B5" w:rsidP="005376B5">
      <w:pPr>
        <w:pStyle w:val="Heading1"/>
        <w:rPr>
          <w:lang w:val="sv-SE"/>
        </w:rPr>
      </w:pPr>
      <w:r>
        <w:rPr>
          <w:lang w:val="sv-SE"/>
        </w:rPr>
        <w:t>Background</w:t>
      </w:r>
    </w:p>
    <w:p w:rsidR="005376B5" w:rsidRDefault="00CA57EB" w:rsidP="005376B5">
      <w:pPr>
        <w:pStyle w:val="BodyText"/>
      </w:pPr>
      <w:r w:rsidRPr="00CA57EB">
        <w:t xml:space="preserve">The baseline radio propagation channel model used </w:t>
      </w:r>
      <w:r w:rsidR="008716E7">
        <w:t>for</w:t>
      </w:r>
      <w:r w:rsidRPr="00CA57EB">
        <w:t xml:space="preserve"> GSM/EDGE </w:t>
      </w:r>
      <w:r w:rsidR="008716E7">
        <w:t xml:space="preserve">performance requirements, and in </w:t>
      </w:r>
      <w:r w:rsidRPr="00CA57EB">
        <w:t>simulations</w:t>
      </w:r>
      <w:r w:rsidR="008716E7">
        <w:t>,</w:t>
      </w:r>
      <w:r w:rsidRPr="00CA57EB">
        <w:t xml:space="preserve"> is the </w:t>
      </w:r>
      <w:r>
        <w:t>‘</w:t>
      </w:r>
      <w:r w:rsidRPr="00CA57EB">
        <w:t>Typical Urban</w:t>
      </w:r>
      <w:r>
        <w:t>’</w:t>
      </w:r>
      <w:r w:rsidRPr="00CA57EB">
        <w:t xml:space="preserve"> </w:t>
      </w:r>
      <w:r w:rsidR="00EE08E6">
        <w:t xml:space="preserve">(TU) </w:t>
      </w:r>
      <w:r w:rsidRPr="00CA57EB">
        <w:t>model</w:t>
      </w:r>
      <w:r w:rsidR="008716E7">
        <w:t>. This model</w:t>
      </w:r>
      <w:r w:rsidR="008716E7" w:rsidRPr="00CA57EB">
        <w:t xml:space="preserve"> stems</w:t>
      </w:r>
      <w:r w:rsidRPr="00CA57EB">
        <w:t xml:space="preserve"> from the COST</w:t>
      </w:r>
      <w:r>
        <w:t xml:space="preserve"> Action </w:t>
      </w:r>
      <w:r w:rsidRPr="00CA57EB">
        <w:t xml:space="preserve">207 </w:t>
      </w:r>
      <w:r>
        <w:t xml:space="preserve">work </w:t>
      </w:r>
      <w:r w:rsidR="008716E7">
        <w:t>and was defined</w:t>
      </w:r>
      <w:r>
        <w:t xml:space="preserve"> </w:t>
      </w:r>
      <w:r w:rsidR="008716E7">
        <w:t xml:space="preserve">long </w:t>
      </w:r>
      <w:r>
        <w:t xml:space="preserve">before the GSM networks were </w:t>
      </w:r>
      <w:r w:rsidR="008716E7">
        <w:t xml:space="preserve">actually </w:t>
      </w:r>
      <w:r>
        <w:t>deployed in practice.</w:t>
      </w:r>
    </w:p>
    <w:p w:rsidR="00EE08E6" w:rsidRDefault="00EE08E6" w:rsidP="005376B5">
      <w:pPr>
        <w:pStyle w:val="BodyText"/>
      </w:pPr>
      <w:r>
        <w:t>Other models used to complement the TU model in the GSM/EDGE performance specification and used in simulations for GSM/EDGE include Rural Area</w:t>
      </w:r>
      <w:r w:rsidR="006A5C33">
        <w:t xml:space="preserve"> (RA)</w:t>
      </w:r>
      <w:r>
        <w:t>, Hilly Terrain</w:t>
      </w:r>
      <w:r w:rsidR="006A5C33">
        <w:t xml:space="preserve"> (HT)</w:t>
      </w:r>
      <w:r>
        <w:t>, Typical Indoor</w:t>
      </w:r>
      <w:r w:rsidR="006A5C33">
        <w:t xml:space="preserve"> (TI)</w:t>
      </w:r>
      <w:r>
        <w:t>, and the EQ channel.</w:t>
      </w:r>
    </w:p>
    <w:p w:rsidR="00A471C7" w:rsidRDefault="00A471C7" w:rsidP="005376B5">
      <w:pPr>
        <w:pStyle w:val="BodyText"/>
      </w:pPr>
      <w:r>
        <w:t>The channel models are explained by their name except for the EQ channel that is defined to stress the equalizer by a rather extreme channel and is only used for requirements on nominal error rate in</w:t>
      </w:r>
      <w:r w:rsidR="008716E7">
        <w:t xml:space="preserve"> the GSM specifications, see</w:t>
      </w:r>
      <w:r>
        <w:t xml:space="preserve"> </w:t>
      </w:r>
      <w:r>
        <w:fldChar w:fldCharType="begin"/>
      </w:r>
      <w:r>
        <w:instrText xml:space="preserve"> REF _Ref394306827 \r \h </w:instrText>
      </w:r>
      <w:r>
        <w:fldChar w:fldCharType="separate"/>
      </w:r>
      <w:r w:rsidR="00D31CE9">
        <w:t>[1]</w:t>
      </w:r>
      <w:r>
        <w:fldChar w:fldCharType="end"/>
      </w:r>
      <w:r>
        <w:t>.</w:t>
      </w:r>
    </w:p>
    <w:p w:rsidR="003A6FAE" w:rsidRDefault="003A6FAE" w:rsidP="005376B5">
      <w:pPr>
        <w:pStyle w:val="BodyText"/>
      </w:pPr>
      <w:r>
        <w:t xml:space="preserve">In </w:t>
      </w:r>
      <w:r>
        <w:fldChar w:fldCharType="begin"/>
      </w:r>
      <w:r>
        <w:instrText xml:space="preserve"> REF _Ref394306890 \h </w:instrText>
      </w:r>
      <w:r>
        <w:fldChar w:fldCharType="separate"/>
      </w:r>
      <w:r w:rsidR="00D31CE9">
        <w:t xml:space="preserve">Figure </w:t>
      </w:r>
      <w:r w:rsidR="00D31CE9">
        <w:rPr>
          <w:noProof/>
        </w:rPr>
        <w:t>1</w:t>
      </w:r>
      <w:r>
        <w:fldChar w:fldCharType="end"/>
      </w:r>
      <w:r>
        <w:t xml:space="preserve"> the power delay profiles of each channel is shown with the average relative power truncated at -10 dB to provide a more readable figure. </w:t>
      </w:r>
      <w:r w:rsidR="00C93C9B">
        <w:t>It can be noted that</w:t>
      </w:r>
      <w:r w:rsidR="003D65CC">
        <w:t>, t</w:t>
      </w:r>
      <w:r>
        <w:t xml:space="preserve">he models in </w:t>
      </w:r>
      <w:r>
        <w:fldChar w:fldCharType="begin"/>
      </w:r>
      <w:r>
        <w:instrText xml:space="preserve"> REF _Ref394306827 \r \h </w:instrText>
      </w:r>
      <w:r>
        <w:fldChar w:fldCharType="separate"/>
      </w:r>
      <w:r w:rsidR="00D31CE9">
        <w:t>[1]</w:t>
      </w:r>
      <w:r>
        <w:fldChar w:fldCharType="end"/>
      </w:r>
      <w:r>
        <w:t xml:space="preserve"> are defined down to -20 dB in average relative power. The models are discrete in time </w:t>
      </w:r>
      <w:r w:rsidR="003D65CC">
        <w:t>with</w:t>
      </w:r>
      <w:r>
        <w:t xml:space="preserve"> each tap represented by a circle marker (‘o’), </w:t>
      </w:r>
      <w:r w:rsidR="003D65CC">
        <w:t>the taps being</w:t>
      </w:r>
      <w:r>
        <w:t xml:space="preserve"> connected by a linear line to provide an easier understanding of the </w:t>
      </w:r>
      <w:r w:rsidR="00C93C9B">
        <w:t xml:space="preserve">dependency between </w:t>
      </w:r>
      <w:r>
        <w:t xml:space="preserve">channel </w:t>
      </w:r>
      <w:r w:rsidR="008716E7">
        <w:t xml:space="preserve">tap </w:t>
      </w:r>
      <w:r>
        <w:t xml:space="preserve">power </w:t>
      </w:r>
      <w:r w:rsidR="00C93C9B">
        <w:t>and</w:t>
      </w:r>
      <w:r>
        <w:t xml:space="preserve"> </w:t>
      </w:r>
      <w:r w:rsidR="008716E7">
        <w:t xml:space="preserve">channel </w:t>
      </w:r>
      <w:r w:rsidR="00C93C9B">
        <w:t xml:space="preserve">tap </w:t>
      </w:r>
      <w:r>
        <w:t>delay</w:t>
      </w:r>
      <w:r w:rsidR="008716E7">
        <w:t xml:space="preserve"> (except for the HT channel where the two group of delay taps are kept separated)</w:t>
      </w:r>
      <w:r>
        <w:t>.</w:t>
      </w:r>
    </w:p>
    <w:p w:rsidR="00A471C7" w:rsidRDefault="0002766F" w:rsidP="003A6FAE">
      <w:pPr>
        <w:pStyle w:val="BodyText"/>
        <w:keepNext/>
        <w:jc w:val="center"/>
      </w:pPr>
      <w:r>
        <w:rPr>
          <w:noProof/>
        </w:rPr>
        <w:lastRenderedPageBreak/>
        <w:drawing>
          <wp:inline distT="0" distB="0" distL="0" distR="0" wp14:anchorId="0DB18C35" wp14:editId="6F5C85F9">
            <wp:extent cx="5250180" cy="3501390"/>
            <wp:effectExtent l="0" t="0" r="762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dio_propagation_channel.png"/>
                    <pic:cNvPicPr/>
                  </pic:nvPicPr>
                  <pic:blipFill>
                    <a:blip r:embed="rId9">
                      <a:extLst>
                        <a:ext uri="{28A0092B-C50C-407E-A947-70E740481C1C}">
                          <a14:useLocalDpi xmlns:a14="http://schemas.microsoft.com/office/drawing/2010/main" val="0"/>
                        </a:ext>
                      </a:extLst>
                    </a:blip>
                    <a:stretch>
                      <a:fillRect/>
                    </a:stretch>
                  </pic:blipFill>
                  <pic:spPr>
                    <a:xfrm>
                      <a:off x="0" y="0"/>
                      <a:ext cx="5250180" cy="3501390"/>
                    </a:xfrm>
                    <a:prstGeom prst="rect">
                      <a:avLst/>
                    </a:prstGeom>
                  </pic:spPr>
                </pic:pic>
              </a:graphicData>
            </a:graphic>
          </wp:inline>
        </w:drawing>
      </w:r>
    </w:p>
    <w:p w:rsidR="00A471C7" w:rsidRDefault="00A471C7" w:rsidP="00A471C7">
      <w:pPr>
        <w:pStyle w:val="Caption"/>
      </w:pPr>
      <w:bookmarkStart w:id="1" w:name="_Ref394306890"/>
      <w:proofErr w:type="gramStart"/>
      <w:r>
        <w:t xml:space="preserve">Figure </w:t>
      </w:r>
      <w:r w:rsidR="00713B5C">
        <w:fldChar w:fldCharType="begin"/>
      </w:r>
      <w:r w:rsidR="00713B5C">
        <w:instrText xml:space="preserve"> SEQ Figure \* ARABIC </w:instrText>
      </w:r>
      <w:r w:rsidR="00713B5C">
        <w:fldChar w:fldCharType="separate"/>
      </w:r>
      <w:r w:rsidR="00D31CE9">
        <w:rPr>
          <w:noProof/>
        </w:rPr>
        <w:t>1</w:t>
      </w:r>
      <w:r w:rsidR="00713B5C">
        <w:rPr>
          <w:noProof/>
        </w:rPr>
        <w:fldChar w:fldCharType="end"/>
      </w:r>
      <w:bookmarkEnd w:id="1"/>
      <w:r>
        <w:t>.</w:t>
      </w:r>
      <w:proofErr w:type="gramEnd"/>
      <w:r>
        <w:t xml:space="preserve"> Radio propagation channels defined for GSM/EDGE in </w:t>
      </w:r>
      <w:r>
        <w:fldChar w:fldCharType="begin"/>
      </w:r>
      <w:r>
        <w:instrText xml:space="preserve"> REF _Ref394306827 \r \h </w:instrText>
      </w:r>
      <w:r>
        <w:fldChar w:fldCharType="separate"/>
      </w:r>
      <w:r w:rsidR="00D31CE9">
        <w:t>[1]</w:t>
      </w:r>
      <w:r>
        <w:fldChar w:fldCharType="end"/>
      </w:r>
      <w:r>
        <w:t xml:space="preserve"> (truncated at -10 dB in relative power).</w:t>
      </w:r>
    </w:p>
    <w:p w:rsidR="00966D10" w:rsidRPr="00966D10" w:rsidRDefault="006A5C33" w:rsidP="008D4F5B">
      <w:pPr>
        <w:pStyle w:val="BodyText"/>
      </w:pPr>
      <w:r>
        <w:t>The Doppler spectrum for each tap is described by the classical Jakes</w:t>
      </w:r>
      <w:r w:rsidR="00182714">
        <w:t>’</w:t>
      </w:r>
      <w:r>
        <w:t xml:space="preserve"> spectrum (denoted as CLASS in </w:t>
      </w:r>
      <w:r>
        <w:fldChar w:fldCharType="begin"/>
      </w:r>
      <w:r>
        <w:instrText xml:space="preserve"> REF _Ref394306827 \r \h </w:instrText>
      </w:r>
      <w:r>
        <w:fldChar w:fldCharType="separate"/>
      </w:r>
      <w:r w:rsidR="00D31CE9">
        <w:t>[1]</w:t>
      </w:r>
      <w:r>
        <w:fldChar w:fldCharType="end"/>
      </w:r>
      <w:r>
        <w:t>)</w:t>
      </w:r>
      <w:r w:rsidR="0002766F">
        <w:t>,</w:t>
      </w:r>
      <w:r>
        <w:t xml:space="preserve"> characterized by </w:t>
      </w:r>
      <w:proofErr w:type="spellStart"/>
      <w:r>
        <w:t>omni</w:t>
      </w:r>
      <w:proofErr w:type="spellEnd"/>
      <w:r>
        <w:t xml:space="preserve">-directional </w:t>
      </w:r>
      <w:proofErr w:type="spellStart"/>
      <w:r>
        <w:t>scatter</w:t>
      </w:r>
      <w:r w:rsidR="0047771C">
        <w:t>er</w:t>
      </w:r>
      <w:r>
        <w:t>s</w:t>
      </w:r>
      <w:proofErr w:type="spellEnd"/>
      <w:r>
        <w:t xml:space="preserve"> impinging on a moving receiver. There is however one exception, which is for the first tap of the RA which follows a </w:t>
      </w:r>
      <w:proofErr w:type="spellStart"/>
      <w:r>
        <w:t>Ric</w:t>
      </w:r>
      <w:r w:rsidR="00182714">
        <w:t>i</w:t>
      </w:r>
      <w:r>
        <w:t>an</w:t>
      </w:r>
      <w:proofErr w:type="spellEnd"/>
      <w:r>
        <w:t xml:space="preserve"> Doppler spectrum having a direct path </w:t>
      </w:r>
      <w:r w:rsidR="00182714">
        <w:t xml:space="preserve">component </w:t>
      </w:r>
      <w:r>
        <w:t>(</w:t>
      </w:r>
      <w:r w:rsidR="002B7881">
        <w:t xml:space="preserve">K factor </w:t>
      </w:r>
      <w:r w:rsidR="002B7881">
        <w:sym w:font="Symbol" w:char="F0BB"/>
      </w:r>
      <w:r w:rsidR="002B7881">
        <w:t xml:space="preserve"> 5</w:t>
      </w:r>
      <w:r>
        <w:t>)</w:t>
      </w:r>
      <w:r w:rsidR="002B7881">
        <w:t>.</w:t>
      </w:r>
    </w:p>
    <w:p w:rsidR="00C6640C" w:rsidRDefault="004B0E35" w:rsidP="004B0E35">
      <w:pPr>
        <w:pStyle w:val="Heading1"/>
      </w:pPr>
      <w:r>
        <w:t>Doppler spectrum for stationary transmitters and receivers</w:t>
      </w:r>
    </w:p>
    <w:p w:rsidR="00294EB5" w:rsidRDefault="00182714" w:rsidP="001F1199">
      <w:pPr>
        <w:pStyle w:val="BodyText"/>
      </w:pPr>
      <w:r>
        <w:t>The classical Doppler spectrum derived by Jakes</w:t>
      </w:r>
      <w:r w:rsidR="00294EB5">
        <w:t xml:space="preserve"> assumes a moving receiver with n</w:t>
      </w:r>
      <w:r w:rsidR="009F42A8">
        <w:t>o moving reflectors/</w:t>
      </w:r>
      <w:proofErr w:type="spellStart"/>
      <w:r w:rsidR="009F42A8">
        <w:t>scatterers</w:t>
      </w:r>
      <w:proofErr w:type="spellEnd"/>
      <w:r w:rsidR="009F42A8">
        <w:t>, and a sufficiently large number of incoming reflections at different angles of arrival.</w:t>
      </w:r>
    </w:p>
    <w:p w:rsidR="001F1199" w:rsidRDefault="00294EB5" w:rsidP="001F1199">
      <w:pPr>
        <w:pStyle w:val="BodyText"/>
      </w:pPr>
      <w:r>
        <w:t xml:space="preserve">However, in the cellular </w:t>
      </w:r>
      <w:proofErr w:type="spellStart"/>
      <w:r>
        <w:t>IoT</w:t>
      </w:r>
      <w:proofErr w:type="spellEnd"/>
      <w:r>
        <w:t xml:space="preserve"> study a large amount of the devices are expected to be stationary, with either stationary or moving reflectors/</w:t>
      </w:r>
      <w:proofErr w:type="spellStart"/>
      <w:r>
        <w:t>scatterers</w:t>
      </w:r>
      <w:proofErr w:type="spellEnd"/>
      <w:r>
        <w:t>. Hence, Jakes model might no</w:t>
      </w:r>
      <w:r w:rsidR="009F42A8">
        <w:t xml:space="preserve"> longer</w:t>
      </w:r>
      <w:r>
        <w:t xml:space="preserve"> be a good representation.</w:t>
      </w:r>
    </w:p>
    <w:p w:rsidR="00294EB5" w:rsidRDefault="00294EB5" w:rsidP="001F1199">
      <w:pPr>
        <w:pStyle w:val="BodyText"/>
      </w:pPr>
      <w:r>
        <w:t xml:space="preserve">In </w:t>
      </w:r>
      <w:r>
        <w:fldChar w:fldCharType="begin"/>
      </w:r>
      <w:r>
        <w:instrText xml:space="preserve"> REF _Ref394314520 \r \h </w:instrText>
      </w:r>
      <w:r>
        <w:fldChar w:fldCharType="separate"/>
      </w:r>
      <w:r w:rsidR="00D31CE9">
        <w:t>[2]</w:t>
      </w:r>
      <w:r>
        <w:fldChar w:fldCharType="end"/>
      </w:r>
      <w:r>
        <w:t xml:space="preserve"> </w:t>
      </w:r>
      <w:r w:rsidR="00F658EC">
        <w:t xml:space="preserve">a stochastic model for time varying channels in a fixed wireless communication system is proposed. The model </w:t>
      </w:r>
      <w:r w:rsidR="00527842">
        <w:t xml:space="preserve">contains a parameter ‘a’ that defines the number of paths that are static </w:t>
      </w:r>
      <w:proofErr w:type="gramStart"/>
      <w:r w:rsidR="00527842">
        <w:t>(no movement from neither reflecting objects, nor transmitter/receiver)</w:t>
      </w:r>
      <w:proofErr w:type="gramEnd"/>
      <w:r w:rsidR="00527842">
        <w:t>.</w:t>
      </w:r>
    </w:p>
    <w:p w:rsidR="00527842" w:rsidRDefault="00527842" w:rsidP="001F1199">
      <w:pPr>
        <w:pStyle w:val="BodyText"/>
      </w:pPr>
      <w:r>
        <w:t xml:space="preserve">A realistic value of ‘a’ according to the authors is 0.9 (90% of the reflecting objects are stationary) which is shown in </w:t>
      </w:r>
      <w:r>
        <w:fldChar w:fldCharType="begin"/>
      </w:r>
      <w:r>
        <w:instrText xml:space="preserve"> REF _Ref394315226 \h </w:instrText>
      </w:r>
      <w:r>
        <w:fldChar w:fldCharType="separate"/>
      </w:r>
      <w:r w:rsidR="00D31CE9">
        <w:t xml:space="preserve">Figure </w:t>
      </w:r>
      <w:r w:rsidR="00D31CE9">
        <w:rPr>
          <w:noProof/>
        </w:rPr>
        <w:t>2</w:t>
      </w:r>
      <w:r>
        <w:fldChar w:fldCharType="end"/>
      </w:r>
      <w:r>
        <w:t>.</w:t>
      </w:r>
    </w:p>
    <w:p w:rsidR="00527842" w:rsidRDefault="00527842" w:rsidP="001F1199">
      <w:pPr>
        <w:pStyle w:val="BodyText"/>
      </w:pPr>
      <w:r>
        <w:t>It can be seen that the spectrum characteristics of the proposed model greatly differ from the classical Jakes spectrum.</w:t>
      </w:r>
    </w:p>
    <w:p w:rsidR="00527842" w:rsidRDefault="00527842" w:rsidP="00527842">
      <w:pPr>
        <w:pStyle w:val="BodyText"/>
        <w:jc w:val="center"/>
      </w:pPr>
      <w:r>
        <w:rPr>
          <w:noProof/>
        </w:rPr>
        <w:lastRenderedPageBreak/>
        <w:drawing>
          <wp:inline distT="0" distB="0" distL="0" distR="0" wp14:anchorId="177D9CAD" wp14:editId="48F04E0C">
            <wp:extent cx="3524389" cy="25717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526240" cy="2573101"/>
                    </a:xfrm>
                    <a:prstGeom prst="rect">
                      <a:avLst/>
                    </a:prstGeom>
                  </pic:spPr>
                </pic:pic>
              </a:graphicData>
            </a:graphic>
          </wp:inline>
        </w:drawing>
      </w:r>
    </w:p>
    <w:p w:rsidR="00527842" w:rsidRDefault="00527842" w:rsidP="00527842">
      <w:pPr>
        <w:pStyle w:val="Caption"/>
      </w:pPr>
      <w:bookmarkStart w:id="2" w:name="_Ref394315226"/>
      <w:proofErr w:type="gramStart"/>
      <w:r>
        <w:t xml:space="preserve">Figure </w:t>
      </w:r>
      <w:r w:rsidR="00713B5C">
        <w:fldChar w:fldCharType="begin"/>
      </w:r>
      <w:r w:rsidR="00713B5C">
        <w:instrText xml:space="preserve"> SEQ Figure \* ARABIC </w:instrText>
      </w:r>
      <w:r w:rsidR="00713B5C">
        <w:fldChar w:fldCharType="separate"/>
      </w:r>
      <w:r w:rsidR="00D31CE9">
        <w:rPr>
          <w:noProof/>
        </w:rPr>
        <w:t>2</w:t>
      </w:r>
      <w:r w:rsidR="00713B5C">
        <w:rPr>
          <w:noProof/>
        </w:rPr>
        <w:fldChar w:fldCharType="end"/>
      </w:r>
      <w:bookmarkEnd w:id="2"/>
      <w:r>
        <w:t>.</w:t>
      </w:r>
      <w:proofErr w:type="gramEnd"/>
      <w:r>
        <w:t xml:space="preserve"> Doppler spectrum based on Jakes’ model and the proposed model in </w:t>
      </w:r>
      <w:r>
        <w:fldChar w:fldCharType="begin"/>
      </w:r>
      <w:r>
        <w:instrText xml:space="preserve"> REF _Ref394314520 \r \h </w:instrText>
      </w:r>
      <w:r>
        <w:fldChar w:fldCharType="separate"/>
      </w:r>
      <w:r w:rsidR="00D31CE9">
        <w:t>[2]</w:t>
      </w:r>
      <w:r>
        <w:fldChar w:fldCharType="end"/>
      </w:r>
      <w:r>
        <w:t>.</w:t>
      </w:r>
    </w:p>
    <w:p w:rsidR="00296A52" w:rsidRDefault="00296A52" w:rsidP="00296A52">
      <w:r>
        <w:t xml:space="preserve">This model </w:t>
      </w:r>
      <w:r w:rsidR="00310B76">
        <w:t>matches for example quite well some measurements of indoor channels where different numbers of persons are moving around the base (‘B’) or portable antenna (‘P’), e.g. 2B 0P</w:t>
      </w:r>
      <w:r w:rsidR="000C2FE0">
        <w:t xml:space="preserve"> (implying that 2 persons are moving around the base and no person is moving around the portable antenna)</w:t>
      </w:r>
      <w:r w:rsidR="00310B76">
        <w:t xml:space="preserve">, in the measurement setup, see </w:t>
      </w:r>
      <w:r w:rsidR="00310B76">
        <w:fldChar w:fldCharType="begin"/>
      </w:r>
      <w:r w:rsidR="00310B76">
        <w:instrText xml:space="preserve"> REF _Ref394316226 \r \h </w:instrText>
      </w:r>
      <w:r w:rsidR="00310B76">
        <w:fldChar w:fldCharType="separate"/>
      </w:r>
      <w:r w:rsidR="00D31CE9">
        <w:t>[3]</w:t>
      </w:r>
      <w:r w:rsidR="00310B76">
        <w:fldChar w:fldCharType="end"/>
      </w:r>
      <w:r w:rsidR="00310B76">
        <w:t xml:space="preserve">, and see </w:t>
      </w:r>
      <w:r w:rsidR="00310B76">
        <w:fldChar w:fldCharType="begin"/>
      </w:r>
      <w:r w:rsidR="00310B76">
        <w:instrText xml:space="preserve"> REF _Ref394316254 \h </w:instrText>
      </w:r>
      <w:r w:rsidR="00310B76">
        <w:fldChar w:fldCharType="separate"/>
      </w:r>
      <w:r w:rsidR="00D31CE9">
        <w:t xml:space="preserve">Figure </w:t>
      </w:r>
      <w:r w:rsidR="00D31CE9">
        <w:rPr>
          <w:noProof/>
        </w:rPr>
        <w:t>3</w:t>
      </w:r>
      <w:r w:rsidR="00310B76">
        <w:fldChar w:fldCharType="end"/>
      </w:r>
      <w:r w:rsidR="00310B76">
        <w:t>.</w:t>
      </w:r>
    </w:p>
    <w:p w:rsidR="00310B76" w:rsidRDefault="00310B76" w:rsidP="00296A52">
      <w:r>
        <w:rPr>
          <w:noProof/>
        </w:rPr>
        <w:drawing>
          <wp:inline distT="0" distB="0" distL="0" distR="0" wp14:anchorId="7ABB830A" wp14:editId="069F212E">
            <wp:extent cx="2582122" cy="1752588"/>
            <wp:effectExtent l="0" t="0" r="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583335" cy="1753411"/>
                    </a:xfrm>
                    <a:prstGeom prst="rect">
                      <a:avLst/>
                    </a:prstGeom>
                  </pic:spPr>
                </pic:pic>
              </a:graphicData>
            </a:graphic>
          </wp:inline>
        </w:drawing>
      </w:r>
      <w:r w:rsidRPr="00310B76">
        <w:rPr>
          <w:noProof/>
        </w:rPr>
        <w:t xml:space="preserve"> </w:t>
      </w:r>
      <w:r>
        <w:rPr>
          <w:noProof/>
        </w:rPr>
        <w:drawing>
          <wp:inline distT="0" distB="0" distL="0" distR="0" wp14:anchorId="21C88FA5" wp14:editId="263B6DAE">
            <wp:extent cx="2599916" cy="1728000"/>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599916" cy="1728000"/>
                    </a:xfrm>
                    <a:prstGeom prst="rect">
                      <a:avLst/>
                    </a:prstGeom>
                  </pic:spPr>
                </pic:pic>
              </a:graphicData>
            </a:graphic>
          </wp:inline>
        </w:drawing>
      </w:r>
    </w:p>
    <w:p w:rsidR="00310B76" w:rsidRDefault="00310B76" w:rsidP="00310B76">
      <w:pPr>
        <w:pStyle w:val="Caption"/>
      </w:pPr>
      <w:bookmarkStart w:id="3" w:name="_Ref394316254"/>
      <w:proofErr w:type="gramStart"/>
      <w:r>
        <w:t xml:space="preserve">Figure </w:t>
      </w:r>
      <w:r w:rsidR="00713B5C">
        <w:fldChar w:fldCharType="begin"/>
      </w:r>
      <w:r w:rsidR="00713B5C">
        <w:instrText xml:space="preserve"> SEQ Figure \* ARABIC </w:instrText>
      </w:r>
      <w:r w:rsidR="00713B5C">
        <w:fldChar w:fldCharType="separate"/>
      </w:r>
      <w:r w:rsidR="00D31CE9">
        <w:rPr>
          <w:noProof/>
        </w:rPr>
        <w:t>3</w:t>
      </w:r>
      <w:r w:rsidR="00713B5C">
        <w:rPr>
          <w:noProof/>
        </w:rPr>
        <w:fldChar w:fldCharType="end"/>
      </w:r>
      <w:bookmarkEnd w:id="3"/>
      <w:r>
        <w:t>.</w:t>
      </w:r>
      <w:proofErr w:type="gramEnd"/>
      <w:r>
        <w:t xml:space="preserve"> </w:t>
      </w:r>
      <w:proofErr w:type="gramStart"/>
      <w:r>
        <w:t xml:space="preserve">Doppler spectrum from </w:t>
      </w:r>
      <w:r>
        <w:fldChar w:fldCharType="begin"/>
      </w:r>
      <w:r>
        <w:instrText xml:space="preserve"> REF _Ref394316226 \r \h </w:instrText>
      </w:r>
      <w:r>
        <w:fldChar w:fldCharType="separate"/>
      </w:r>
      <w:r w:rsidR="00D31CE9">
        <w:t>[3]</w:t>
      </w:r>
      <w:r>
        <w:fldChar w:fldCharType="end"/>
      </w:r>
      <w:r>
        <w:t>.</w:t>
      </w:r>
      <w:proofErr w:type="gramEnd"/>
    </w:p>
    <w:p w:rsidR="008F3A9C" w:rsidRDefault="008F3A9C" w:rsidP="0052422B">
      <w:r>
        <w:t xml:space="preserve">Other measurement </w:t>
      </w:r>
      <w:r w:rsidR="002C779A">
        <w:t>campaigns</w:t>
      </w:r>
      <w:r w:rsidR="0052422B">
        <w:t xml:space="preserve"> see </w:t>
      </w:r>
      <w:r w:rsidR="0052422B">
        <w:fldChar w:fldCharType="begin"/>
      </w:r>
      <w:r w:rsidR="0052422B">
        <w:instrText xml:space="preserve"> REF _Ref396328017 \r \h </w:instrText>
      </w:r>
      <w:r w:rsidR="0052422B">
        <w:fldChar w:fldCharType="separate"/>
      </w:r>
      <w:r w:rsidR="00D31CE9">
        <w:t>[1]</w:t>
      </w:r>
      <w:r w:rsidR="0052422B">
        <w:fldChar w:fldCharType="end"/>
      </w:r>
      <w:r w:rsidR="002C779A">
        <w:t xml:space="preserve"> and </w:t>
      </w:r>
      <w:r w:rsidR="002C779A">
        <w:fldChar w:fldCharType="begin"/>
      </w:r>
      <w:r w:rsidR="002C779A">
        <w:instrText xml:space="preserve"> REF _Ref396330232 \r \h </w:instrText>
      </w:r>
      <w:r w:rsidR="002C779A">
        <w:fldChar w:fldCharType="separate"/>
      </w:r>
      <w:r w:rsidR="00D31CE9">
        <w:t>[7]</w:t>
      </w:r>
      <w:r w:rsidR="002C779A">
        <w:fldChar w:fldCharType="end"/>
      </w:r>
      <w:proofErr w:type="gramStart"/>
      <w:r w:rsidR="0052422B">
        <w:t>,</w:t>
      </w:r>
      <w:proofErr w:type="gramEnd"/>
      <w:r>
        <w:t xml:space="preserve"> also verify these findings in that the shape of the Doppler spectrum is rather pointy instead of having a bell shaped profile.</w:t>
      </w:r>
      <w:r w:rsidR="002C779A">
        <w:t xml:space="preserve"> An alternative model for simulation of the stationary channel is also proposed in </w:t>
      </w:r>
      <w:r w:rsidR="000C2FE0">
        <w:fldChar w:fldCharType="begin"/>
      </w:r>
      <w:r w:rsidR="000C2FE0">
        <w:instrText xml:space="preserve"> REF _Ref396328017 \r \h </w:instrText>
      </w:r>
      <w:r w:rsidR="000C2FE0">
        <w:fldChar w:fldCharType="separate"/>
      </w:r>
      <w:r w:rsidR="00D31CE9">
        <w:t>[1]</w:t>
      </w:r>
      <w:r w:rsidR="000C2FE0">
        <w:fldChar w:fldCharType="end"/>
      </w:r>
      <w:r w:rsidR="000C2FE0">
        <w:t>.</w:t>
      </w:r>
    </w:p>
    <w:p w:rsidR="008F3A9C" w:rsidRDefault="0052422B" w:rsidP="0052422B">
      <w:pPr>
        <w:jc w:val="center"/>
      </w:pPr>
      <w:r>
        <w:rPr>
          <w:noProof/>
        </w:rPr>
        <w:drawing>
          <wp:inline distT="0" distB="0" distL="0" distR="0" wp14:anchorId="44B9CF45" wp14:editId="27515200">
            <wp:extent cx="2497461" cy="1786378"/>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498470" cy="1787099"/>
                    </a:xfrm>
                    <a:prstGeom prst="rect">
                      <a:avLst/>
                    </a:prstGeom>
                  </pic:spPr>
                </pic:pic>
              </a:graphicData>
            </a:graphic>
          </wp:inline>
        </w:drawing>
      </w:r>
    </w:p>
    <w:p w:rsidR="0052422B" w:rsidRPr="008F3A9C" w:rsidRDefault="0052422B" w:rsidP="0052422B">
      <w:pPr>
        <w:pStyle w:val="Caption"/>
      </w:pPr>
      <w:proofErr w:type="gramStart"/>
      <w:r>
        <w:lastRenderedPageBreak/>
        <w:t xml:space="preserve">Figure </w:t>
      </w:r>
      <w:fldSimple w:instr=" SEQ Figure \* ARABIC ">
        <w:r w:rsidR="00D31CE9">
          <w:rPr>
            <w:noProof/>
          </w:rPr>
          <w:t>4</w:t>
        </w:r>
      </w:fldSimple>
      <w:r>
        <w:t>.</w:t>
      </w:r>
      <w:proofErr w:type="gramEnd"/>
      <w:r>
        <w:t xml:space="preserve"> </w:t>
      </w:r>
      <w:proofErr w:type="gramStart"/>
      <w:r>
        <w:t xml:space="preserve">Doppler spectrum from </w:t>
      </w:r>
      <w:r>
        <w:fldChar w:fldCharType="begin"/>
      </w:r>
      <w:r>
        <w:instrText xml:space="preserve"> REF _Ref396328017 \r \h </w:instrText>
      </w:r>
      <w:r>
        <w:fldChar w:fldCharType="separate"/>
      </w:r>
      <w:r w:rsidR="00D31CE9">
        <w:t>[1]</w:t>
      </w:r>
      <w:r>
        <w:fldChar w:fldCharType="end"/>
      </w:r>
      <w:r>
        <w:t>.</w:t>
      </w:r>
      <w:proofErr w:type="gramEnd"/>
    </w:p>
    <w:p w:rsidR="004B0E35" w:rsidRDefault="001F1199" w:rsidP="001F1199">
      <w:pPr>
        <w:pStyle w:val="Heading1"/>
      </w:pPr>
      <w:r>
        <w:t>Discussion</w:t>
      </w:r>
    </w:p>
    <w:p w:rsidR="00FF303D" w:rsidRDefault="000C2FE0" w:rsidP="008D4F5B">
      <w:pPr>
        <w:pStyle w:val="BodyText"/>
      </w:pPr>
      <w:r>
        <w:t>S</w:t>
      </w:r>
      <w:r w:rsidR="00FF303D">
        <w:t>ome collection of measurements and models from the literature has been provided. It is clear that the Doppler spread in channels with stationary transmitters and receivers is expected to differ significantly from the classical Doppler model typically used. The impact on performance from the different models and/or their complexity to implement in existing simulators</w:t>
      </w:r>
      <w:r w:rsidR="0041337E">
        <w:t>,</w:t>
      </w:r>
      <w:r w:rsidR="00FF303D">
        <w:t xml:space="preserve"> have not been considered. </w:t>
      </w:r>
    </w:p>
    <w:p w:rsidR="004876C1" w:rsidRDefault="004876C1" w:rsidP="004876C1">
      <w:pPr>
        <w:pStyle w:val="BodyText"/>
      </w:pPr>
      <w:r>
        <w:t xml:space="preserve">It should be noted that only the modeling of the </w:t>
      </w:r>
      <w:r w:rsidR="0041337E">
        <w:t>Doppler spread</w:t>
      </w:r>
      <w:r>
        <w:t xml:space="preserve">, and not scenario specific parameters, such as </w:t>
      </w:r>
      <w:r w:rsidR="009F42A8">
        <w:t xml:space="preserve">what maximum </w:t>
      </w:r>
      <w:r>
        <w:t>Doppler spread</w:t>
      </w:r>
      <w:r w:rsidR="009F42A8">
        <w:t>(s)</w:t>
      </w:r>
      <w:r>
        <w:t xml:space="preserve"> </w:t>
      </w:r>
      <w:r w:rsidR="009F42A8">
        <w:t xml:space="preserve">should be used for stationary devices, </w:t>
      </w:r>
      <w:r w:rsidR="000C2FE0">
        <w:t>has been collected</w:t>
      </w:r>
      <w:r>
        <w:t>.</w:t>
      </w:r>
    </w:p>
    <w:p w:rsidR="004876C1" w:rsidRDefault="004876C1" w:rsidP="004876C1">
      <w:pPr>
        <w:pStyle w:val="Heading1"/>
      </w:pPr>
      <w:r>
        <w:t>Conclusions</w:t>
      </w:r>
    </w:p>
    <w:p w:rsidR="000E3ACF" w:rsidRPr="004876C1" w:rsidRDefault="000E3ACF" w:rsidP="004876C1">
      <w:r>
        <w:t xml:space="preserve">Some initial consideration on the applicable Doppler spectrum for stationary devices </w:t>
      </w:r>
      <w:proofErr w:type="gramStart"/>
      <w:r>
        <w:t>has  been</w:t>
      </w:r>
      <w:proofErr w:type="gramEnd"/>
      <w:r>
        <w:t xml:space="preserve"> made.</w:t>
      </w:r>
      <w:r w:rsidR="000C2FE0">
        <w:t xml:space="preserve"> Further consideration on impact on performance and modeling complexity is needed before determining on a way forward for the channel modeling in the cellular </w:t>
      </w:r>
      <w:proofErr w:type="spellStart"/>
      <w:r w:rsidR="000C2FE0">
        <w:t>IoT</w:t>
      </w:r>
      <w:proofErr w:type="spellEnd"/>
      <w:r w:rsidR="000C2FE0">
        <w:t xml:space="preserve"> study.</w:t>
      </w:r>
    </w:p>
    <w:p w:rsidR="00E17DDB" w:rsidRDefault="00E17DDB" w:rsidP="00E17DDB">
      <w:pPr>
        <w:pStyle w:val="Heading1"/>
      </w:pPr>
      <w:r>
        <w:t>References</w:t>
      </w:r>
    </w:p>
    <w:p w:rsidR="002A1B11" w:rsidRDefault="00A471C7" w:rsidP="00E17DDB">
      <w:pPr>
        <w:pStyle w:val="Reference"/>
      </w:pPr>
      <w:bookmarkStart w:id="4" w:name="_Ref394306827"/>
      <w:r>
        <w:t>3GPP TS 45.005, “Radio transmission and reception”</w:t>
      </w:r>
      <w:bookmarkEnd w:id="4"/>
    </w:p>
    <w:p w:rsidR="00294EB5" w:rsidRDefault="00D31CE9" w:rsidP="00294EB5">
      <w:pPr>
        <w:pStyle w:val="Reference"/>
      </w:pPr>
      <w:bookmarkStart w:id="5" w:name="_Ref394309410"/>
      <w:r w:rsidDel="00D31CE9">
        <w:t xml:space="preserve"> </w:t>
      </w:r>
      <w:bookmarkStart w:id="6" w:name="_Ref394314520"/>
      <w:bookmarkEnd w:id="5"/>
      <w:r w:rsidR="00294EB5">
        <w:t xml:space="preserve">“Modeling the Channel Time-Variance for Fixed Wireless Communications”, source IEEE, authors Steven </w:t>
      </w:r>
      <w:proofErr w:type="spellStart"/>
      <w:r w:rsidR="00294EB5">
        <w:t>Thoen</w:t>
      </w:r>
      <w:proofErr w:type="spellEnd"/>
      <w:r w:rsidR="00294EB5">
        <w:t xml:space="preserve">, </w:t>
      </w:r>
      <w:proofErr w:type="spellStart"/>
      <w:r w:rsidR="00294EB5">
        <w:t>Liesbet</w:t>
      </w:r>
      <w:proofErr w:type="spellEnd"/>
      <w:r w:rsidR="00294EB5">
        <w:t xml:space="preserve"> Van der </w:t>
      </w:r>
      <w:proofErr w:type="spellStart"/>
      <w:r w:rsidR="00294EB5">
        <w:t>Perre</w:t>
      </w:r>
      <w:proofErr w:type="spellEnd"/>
      <w:r w:rsidR="00294EB5">
        <w:t xml:space="preserve"> and Marc Engels.</w:t>
      </w:r>
      <w:bookmarkEnd w:id="6"/>
    </w:p>
    <w:p w:rsidR="00310B76" w:rsidRDefault="00310B76" w:rsidP="00294EB5">
      <w:pPr>
        <w:pStyle w:val="Reference"/>
      </w:pPr>
      <w:bookmarkStart w:id="7" w:name="_Ref394316226"/>
      <w:r>
        <w:t xml:space="preserve">“Measurements and modeling of temporal variations of the indoor radio propagation channel”, source IEEE, authors </w:t>
      </w:r>
      <w:proofErr w:type="spellStart"/>
      <w:r>
        <w:t>Homayoun</w:t>
      </w:r>
      <w:proofErr w:type="spellEnd"/>
      <w:r>
        <w:t xml:space="preserve"> </w:t>
      </w:r>
      <w:proofErr w:type="spellStart"/>
      <w:r>
        <w:t>Hashemi</w:t>
      </w:r>
      <w:proofErr w:type="spellEnd"/>
      <w:r>
        <w:t xml:space="preserve">, Michael McGuire, Thomas </w:t>
      </w:r>
      <w:proofErr w:type="spellStart"/>
      <w:r>
        <w:t>Vlasschaert</w:t>
      </w:r>
      <w:proofErr w:type="spellEnd"/>
      <w:r>
        <w:t xml:space="preserve">, </w:t>
      </w:r>
      <w:proofErr w:type="gramStart"/>
      <w:r>
        <w:t>David</w:t>
      </w:r>
      <w:proofErr w:type="gramEnd"/>
      <w:r>
        <w:t xml:space="preserve"> </w:t>
      </w:r>
      <w:proofErr w:type="spellStart"/>
      <w:r>
        <w:t>Tholl</w:t>
      </w:r>
      <w:proofErr w:type="spellEnd"/>
      <w:r>
        <w:t>.</w:t>
      </w:r>
      <w:bookmarkEnd w:id="7"/>
    </w:p>
    <w:p w:rsidR="004876C1" w:rsidRDefault="004876C1" w:rsidP="00294EB5">
      <w:pPr>
        <w:pStyle w:val="Reference"/>
      </w:pPr>
      <w:bookmarkStart w:id="8" w:name="_Ref394316715"/>
      <w:r>
        <w:t>3GPP TS 36.104, “Base station radio transmission and reception”</w:t>
      </w:r>
      <w:bookmarkEnd w:id="8"/>
    </w:p>
    <w:bookmarkStart w:id="9" w:name="_Ref394318340"/>
    <w:p w:rsidR="008716E7" w:rsidRDefault="008716E7" w:rsidP="008716E7">
      <w:pPr>
        <w:pStyle w:val="Reference"/>
      </w:pPr>
      <w:r>
        <w:fldChar w:fldCharType="begin"/>
      </w:r>
      <w:r>
        <w:instrText xml:space="preserve"> HYPERLINK "ftp://www.3gpp.org/tsg_geran/TSG_GERAN/GERAN_62_Valencia/Docs/GP-140421.zip" </w:instrText>
      </w:r>
      <w:r>
        <w:fldChar w:fldCharType="separate"/>
      </w:r>
      <w:r>
        <w:rPr>
          <w:rStyle w:val="Hyperlink"/>
        </w:rPr>
        <w:t>GP-140421</w:t>
      </w:r>
      <w:r>
        <w:fldChar w:fldCharType="end"/>
      </w:r>
      <w:r>
        <w:t xml:space="preserve">, </w:t>
      </w:r>
      <w:r w:rsidRPr="008716E7">
        <w:tab/>
        <w:t>New Study Item on Cellular System Support for Ultra Low Complexity and Low Throughput Internet of Things (</w:t>
      </w:r>
      <w:proofErr w:type="spellStart"/>
      <w:r w:rsidRPr="008716E7">
        <w:t>FS_IoT_LC</w:t>
      </w:r>
      <w:proofErr w:type="spellEnd"/>
      <w:r w:rsidRPr="008716E7">
        <w:t>) (revision of GP-140418)</w:t>
      </w:r>
      <w:r>
        <w:t xml:space="preserve">, source </w:t>
      </w:r>
      <w:r w:rsidRPr="008716E7">
        <w:t>VODAFONE Group Plc.</w:t>
      </w:r>
      <w:bookmarkEnd w:id="9"/>
    </w:p>
    <w:p w:rsidR="00FF303D" w:rsidRDefault="0052422B">
      <w:pPr>
        <w:pStyle w:val="Reference"/>
      </w:pPr>
      <w:bookmarkStart w:id="10" w:name="_Ref396328017"/>
      <w:r>
        <w:t>“</w:t>
      </w:r>
      <w:r w:rsidRPr="0052422B">
        <w:t>Channel Modeling for the Stationary UE Scenario</w:t>
      </w:r>
      <w:r>
        <w:t>”, source 7</w:t>
      </w:r>
      <w:r w:rsidRPr="008D4F5B">
        <w:rPr>
          <w:vertAlign w:val="superscript"/>
        </w:rPr>
        <w:t>th</w:t>
      </w:r>
      <w:r>
        <w:t xml:space="preserve"> European Conference on Antennas and </w:t>
      </w:r>
      <w:proofErr w:type="gramStart"/>
      <w:r>
        <w:t>Propagation,</w:t>
      </w:r>
      <w:proofErr w:type="gramEnd"/>
      <w:r>
        <w:t xml:space="preserve"> author Jonas </w:t>
      </w:r>
      <w:proofErr w:type="spellStart"/>
      <w:r>
        <w:t>Medbo</w:t>
      </w:r>
      <w:proofErr w:type="spellEnd"/>
      <w:r>
        <w:t xml:space="preserve">, Fredrik </w:t>
      </w:r>
      <w:proofErr w:type="spellStart"/>
      <w:r>
        <w:t>Harrysson</w:t>
      </w:r>
      <w:proofErr w:type="spellEnd"/>
      <w:r>
        <w:t>.</w:t>
      </w:r>
      <w:bookmarkEnd w:id="10"/>
      <w:r w:rsidR="00D31CE9" w:rsidDel="00D31CE9">
        <w:t xml:space="preserve"> </w:t>
      </w:r>
    </w:p>
    <w:p w:rsidR="002C779A" w:rsidRDefault="002C779A" w:rsidP="0052422B">
      <w:pPr>
        <w:pStyle w:val="Reference"/>
      </w:pPr>
      <w:bookmarkStart w:id="11" w:name="_Ref396330232"/>
      <w:r>
        <w:t xml:space="preserve">“Temporal Radio Channel Variations with Stationary Terminals”, source IEEE, authors Jonas </w:t>
      </w:r>
      <w:proofErr w:type="spellStart"/>
      <w:r>
        <w:t>Medbo</w:t>
      </w:r>
      <w:proofErr w:type="spellEnd"/>
      <w:r>
        <w:t xml:space="preserve">, Jan-Erik Berg, Fredrik </w:t>
      </w:r>
      <w:proofErr w:type="spellStart"/>
      <w:r>
        <w:t>Harrysson</w:t>
      </w:r>
      <w:proofErr w:type="spellEnd"/>
      <w:r>
        <w:t>.</w:t>
      </w:r>
      <w:bookmarkEnd w:id="11"/>
    </w:p>
    <w:p w:rsidR="00310B76" w:rsidRPr="00310B76" w:rsidRDefault="00310B76" w:rsidP="00310B76"/>
    <w:sectPr w:rsidR="00310B76" w:rsidRPr="00310B76" w:rsidSect="002D4FA5">
      <w:headerReference w:type="default" r:id="rId14"/>
      <w:footerReference w:type="default" r:id="rId15"/>
      <w:headerReference w:type="first" r:id="rId16"/>
      <w:footerReference w:type="first" r:id="rId17"/>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3B5C" w:rsidRDefault="00713B5C">
      <w:r>
        <w:separator/>
      </w:r>
    </w:p>
  </w:endnote>
  <w:endnote w:type="continuationSeparator" w:id="0">
    <w:p w:rsidR="00713B5C" w:rsidRDefault="00713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B57" w:rsidRDefault="00B87B57">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8D4F5B">
      <w:rPr>
        <w:rStyle w:val="PageNumber"/>
        <w:noProof/>
      </w:rPr>
      <w:t>4</w:t>
    </w:r>
    <w:r>
      <w:rPr>
        <w:rStyle w:val="PageNumber"/>
      </w:rPr>
      <w:fldChar w:fldCharType="end"/>
    </w:r>
    <w:bookmarkStart w:id="1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8D4F5B">
      <w:rPr>
        <w:rStyle w:val="PageNumber"/>
        <w:noProof/>
      </w:rPr>
      <w:t>4</w:t>
    </w:r>
    <w:r>
      <w:rPr>
        <w:rStyle w:val="PageNumber"/>
      </w:rPr>
      <w:fldChar w:fldCharType="end"/>
    </w:r>
    <w:r>
      <w:rPr>
        <w:rStyle w:val="PageNumber"/>
      </w:rPr>
      <w:t>)</w:t>
    </w:r>
    <w:bookmarkEnd w:id="12"/>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B57" w:rsidRDefault="00B87B57">
    <w:pPr>
      <w:pStyle w:val="Footer"/>
      <w:jc w:val="center"/>
    </w:pPr>
    <w:r>
      <w:rPr>
        <w:rStyle w:val="PageNumber"/>
      </w:rPr>
      <w:fldChar w:fldCharType="begin"/>
    </w:r>
    <w:r>
      <w:rPr>
        <w:rStyle w:val="PageNumber"/>
      </w:rPr>
      <w:instrText xml:space="preserve"> PAGE </w:instrText>
    </w:r>
    <w:r>
      <w:rPr>
        <w:rStyle w:val="PageNumber"/>
      </w:rPr>
      <w:fldChar w:fldCharType="separate"/>
    </w:r>
    <w:r w:rsidR="008D4F5B">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D4F5B">
      <w:rPr>
        <w:rStyle w:val="PageNumber"/>
        <w:noProof/>
      </w:rPr>
      <w:t>4</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3B5C" w:rsidRDefault="00713B5C">
      <w:r>
        <w:separator/>
      </w:r>
    </w:p>
  </w:footnote>
  <w:footnote w:type="continuationSeparator" w:id="0">
    <w:p w:rsidR="00713B5C" w:rsidRDefault="00713B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B57" w:rsidRDefault="00B87B57" w:rsidP="00EA60C1">
    <w:pPr>
      <w:pStyle w:val="Header"/>
      <w:rPr>
        <w:lang w:val="sv-SE"/>
      </w:rPr>
    </w:pPr>
    <w:r>
      <w:rPr>
        <w:lang w:val="sv-SE"/>
      </w:rPr>
      <w:t>3GPP TSG GERAN#63</w:t>
    </w:r>
    <w:r>
      <w:rPr>
        <w:lang w:val="sv-SE"/>
      </w:rPr>
      <w:tab/>
    </w:r>
    <w:r>
      <w:rPr>
        <w:lang w:val="sv-SE"/>
      </w:rPr>
      <w:tab/>
      <w:t>Tdoc GP-</w:t>
    </w:r>
    <w:r w:rsidR="00BA1FB2">
      <w:rPr>
        <w:lang w:val="sv-SE"/>
      </w:rPr>
      <w:t>140608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B57" w:rsidRDefault="00B87B57" w:rsidP="0015360B">
    <w:pPr>
      <w:pStyle w:val="Header"/>
      <w:spacing w:after="0"/>
      <w:rPr>
        <w:lang w:val="sv-SE"/>
      </w:rPr>
    </w:pPr>
    <w:r>
      <w:rPr>
        <w:lang w:val="sv-SE"/>
      </w:rPr>
      <w:t>3GPP TSG GERAN#63</w:t>
    </w:r>
    <w:r>
      <w:rPr>
        <w:lang w:val="sv-SE"/>
      </w:rPr>
      <w:tab/>
    </w:r>
    <w:r>
      <w:rPr>
        <w:lang w:val="sv-SE"/>
      </w:rPr>
      <w:tab/>
      <w:t>Tdoc GP-</w:t>
    </w:r>
    <w:r w:rsidR="00BA1FB2">
      <w:rPr>
        <w:lang w:val="sv-SE"/>
      </w:rPr>
      <w:t>140608</w:t>
    </w:r>
  </w:p>
  <w:p w:rsidR="00B87B57" w:rsidRPr="00F171F5" w:rsidRDefault="00B87B57" w:rsidP="0015360B">
    <w:pPr>
      <w:pStyle w:val="Header"/>
      <w:spacing w:after="0"/>
      <w:rPr>
        <w:lang w:val="it-IT"/>
      </w:rPr>
    </w:pPr>
    <w:r>
      <w:rPr>
        <w:lang w:val="it-IT"/>
      </w:rPr>
      <w:t>Ljubljana, Slovania</w:t>
    </w:r>
    <w:r w:rsidRPr="00F171F5">
      <w:rPr>
        <w:lang w:val="it-IT"/>
      </w:rPr>
      <w:tab/>
    </w:r>
    <w:r w:rsidRPr="00F171F5">
      <w:rPr>
        <w:lang w:val="it-IT"/>
      </w:rPr>
      <w:tab/>
      <w:t xml:space="preserve">Agenda item </w:t>
    </w:r>
    <w:r w:rsidR="00BA1FB2">
      <w:rPr>
        <w:lang w:val="it-IT"/>
      </w:rPr>
      <w:t>7.1.5.3.5</w:t>
    </w:r>
  </w:p>
  <w:p w:rsidR="00B87B57" w:rsidRPr="00264773" w:rsidRDefault="00B87B57" w:rsidP="0015360B">
    <w:pPr>
      <w:pStyle w:val="Header"/>
      <w:spacing w:after="0"/>
      <w:rPr>
        <w:snapToGrid w:val="0"/>
      </w:rPr>
    </w:pPr>
    <w:r>
      <w:t>25</w:t>
    </w:r>
    <w:r w:rsidRPr="00264773">
      <w:rPr>
        <w:vertAlign w:val="superscript"/>
      </w:rPr>
      <w:t>th</w:t>
    </w:r>
    <w:r w:rsidRPr="00264773">
      <w:t xml:space="preserve">– </w:t>
    </w:r>
    <w:r>
      <w:t>29</w:t>
    </w:r>
    <w:r w:rsidRPr="00B74E2C">
      <w:rPr>
        <w:vertAlign w:val="superscript"/>
      </w:rPr>
      <w:t>th</w:t>
    </w:r>
    <w:r>
      <w:t xml:space="preserve"> August</w:t>
    </w:r>
    <w:r w:rsidRPr="00264773">
      <w:t xml:space="preserve">, </w:t>
    </w:r>
    <w:r>
      <w:t>2014</w:t>
    </w:r>
    <w:r w:rsidRPr="00264773">
      <w:br/>
    </w:r>
    <w:bookmarkStart w:id="13" w:name="_Ref515183447"/>
    <w:bookmarkEnd w:id="13"/>
    <w:r w:rsidRPr="00264773">
      <w:t xml:space="preserve">Source: </w:t>
    </w:r>
    <w:r>
      <w:t>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6B0329E"/>
    <w:multiLevelType w:val="hybridMultilevel"/>
    <w:tmpl w:val="295C19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1"/>
  </w:num>
  <w:num w:numId="7">
    <w:abstractNumId w:val="6"/>
  </w:num>
  <w:num w:numId="8">
    <w:abstractNumId w:val="10"/>
  </w:num>
  <w:num w:numId="9">
    <w:abstractNumId w:val="12"/>
  </w:num>
  <w:num w:numId="10">
    <w:abstractNumId w:val="14"/>
  </w:num>
  <w:num w:numId="11">
    <w:abstractNumId w:val="8"/>
  </w:num>
  <w:num w:numId="12">
    <w:abstractNumId w:val="7"/>
  </w:num>
  <w:num w:numId="13">
    <w:abstractNumId w:val="0"/>
  </w:num>
  <w:num w:numId="14">
    <w:abstractNumId w:val="15"/>
  </w:num>
  <w:num w:numId="15">
    <w:abstractNumId w:val="13"/>
  </w:num>
  <w:num w:numId="1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trackRevisions/>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2766F"/>
    <w:rsid w:val="00032747"/>
    <w:rsid w:val="00036222"/>
    <w:rsid w:val="00036EE4"/>
    <w:rsid w:val="00036FBD"/>
    <w:rsid w:val="0004021D"/>
    <w:rsid w:val="000432B9"/>
    <w:rsid w:val="000476F1"/>
    <w:rsid w:val="00051509"/>
    <w:rsid w:val="0005267D"/>
    <w:rsid w:val="000558BC"/>
    <w:rsid w:val="00055A72"/>
    <w:rsid w:val="000561FD"/>
    <w:rsid w:val="00056357"/>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917"/>
    <w:rsid w:val="00085559"/>
    <w:rsid w:val="00085B0D"/>
    <w:rsid w:val="00085F02"/>
    <w:rsid w:val="0008658A"/>
    <w:rsid w:val="000865DB"/>
    <w:rsid w:val="00087BE7"/>
    <w:rsid w:val="00090398"/>
    <w:rsid w:val="00091E68"/>
    <w:rsid w:val="0009208C"/>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EF3"/>
    <w:rsid w:val="000C246D"/>
    <w:rsid w:val="000C2FE0"/>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3ACF"/>
    <w:rsid w:val="000E4DE7"/>
    <w:rsid w:val="000E52B9"/>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2714"/>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8ED"/>
    <w:rsid w:val="001A74BA"/>
    <w:rsid w:val="001B033B"/>
    <w:rsid w:val="001B11C2"/>
    <w:rsid w:val="001B1402"/>
    <w:rsid w:val="001B17B1"/>
    <w:rsid w:val="001B1A12"/>
    <w:rsid w:val="001B280A"/>
    <w:rsid w:val="001B3B92"/>
    <w:rsid w:val="001B4E2B"/>
    <w:rsid w:val="001B68ED"/>
    <w:rsid w:val="001C03F9"/>
    <w:rsid w:val="001C0F49"/>
    <w:rsid w:val="001C2F0C"/>
    <w:rsid w:val="001C34D8"/>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1199"/>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DCC"/>
    <w:rsid w:val="00212200"/>
    <w:rsid w:val="00214891"/>
    <w:rsid w:val="00216391"/>
    <w:rsid w:val="002163DA"/>
    <w:rsid w:val="002175C4"/>
    <w:rsid w:val="00217C4A"/>
    <w:rsid w:val="00220D2A"/>
    <w:rsid w:val="00223B6C"/>
    <w:rsid w:val="00223BEE"/>
    <w:rsid w:val="00223DD7"/>
    <w:rsid w:val="0022497A"/>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C25"/>
    <w:rsid w:val="0027726F"/>
    <w:rsid w:val="00280D07"/>
    <w:rsid w:val="00282F72"/>
    <w:rsid w:val="00283416"/>
    <w:rsid w:val="00284C25"/>
    <w:rsid w:val="00285F61"/>
    <w:rsid w:val="00285F94"/>
    <w:rsid w:val="002860CF"/>
    <w:rsid w:val="0028621E"/>
    <w:rsid w:val="002923B3"/>
    <w:rsid w:val="002926DA"/>
    <w:rsid w:val="002937E7"/>
    <w:rsid w:val="00293EA6"/>
    <w:rsid w:val="00294DF7"/>
    <w:rsid w:val="00294EB5"/>
    <w:rsid w:val="002958D5"/>
    <w:rsid w:val="002967C3"/>
    <w:rsid w:val="00296A52"/>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2AB0"/>
    <w:rsid w:val="002B341F"/>
    <w:rsid w:val="002B6A64"/>
    <w:rsid w:val="002B7360"/>
    <w:rsid w:val="002B7881"/>
    <w:rsid w:val="002C0170"/>
    <w:rsid w:val="002C0369"/>
    <w:rsid w:val="002C168B"/>
    <w:rsid w:val="002C20B2"/>
    <w:rsid w:val="002C3AC9"/>
    <w:rsid w:val="002C631C"/>
    <w:rsid w:val="002C6CB3"/>
    <w:rsid w:val="002C6E37"/>
    <w:rsid w:val="002C779A"/>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0B76"/>
    <w:rsid w:val="003119CA"/>
    <w:rsid w:val="00312FC6"/>
    <w:rsid w:val="003134BB"/>
    <w:rsid w:val="00313A9F"/>
    <w:rsid w:val="00314275"/>
    <w:rsid w:val="00315D93"/>
    <w:rsid w:val="003232C4"/>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500A7"/>
    <w:rsid w:val="00351194"/>
    <w:rsid w:val="00351BAD"/>
    <w:rsid w:val="00353745"/>
    <w:rsid w:val="003549E9"/>
    <w:rsid w:val="0035554D"/>
    <w:rsid w:val="00356ED2"/>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A6FAE"/>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D65CC"/>
    <w:rsid w:val="003E0239"/>
    <w:rsid w:val="003E13BA"/>
    <w:rsid w:val="003E1AF7"/>
    <w:rsid w:val="003E2CE0"/>
    <w:rsid w:val="003E3517"/>
    <w:rsid w:val="003E5917"/>
    <w:rsid w:val="003E6521"/>
    <w:rsid w:val="003E660C"/>
    <w:rsid w:val="003E730A"/>
    <w:rsid w:val="003F08A4"/>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C79"/>
    <w:rsid w:val="00412E28"/>
    <w:rsid w:val="004131DC"/>
    <w:rsid w:val="0041337E"/>
    <w:rsid w:val="00413D3D"/>
    <w:rsid w:val="00414A95"/>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600B0"/>
    <w:rsid w:val="0046074E"/>
    <w:rsid w:val="00462CD5"/>
    <w:rsid w:val="00463C22"/>
    <w:rsid w:val="00464B47"/>
    <w:rsid w:val="00465EC1"/>
    <w:rsid w:val="00466E53"/>
    <w:rsid w:val="00470004"/>
    <w:rsid w:val="004709FB"/>
    <w:rsid w:val="00471C65"/>
    <w:rsid w:val="00472DBB"/>
    <w:rsid w:val="00472E97"/>
    <w:rsid w:val="00473A6E"/>
    <w:rsid w:val="00474DAD"/>
    <w:rsid w:val="0047771C"/>
    <w:rsid w:val="00477BC7"/>
    <w:rsid w:val="00477E7F"/>
    <w:rsid w:val="00477F1D"/>
    <w:rsid w:val="004807A0"/>
    <w:rsid w:val="00480A76"/>
    <w:rsid w:val="00481291"/>
    <w:rsid w:val="004819BD"/>
    <w:rsid w:val="00482735"/>
    <w:rsid w:val="00483D93"/>
    <w:rsid w:val="00485718"/>
    <w:rsid w:val="00485FB5"/>
    <w:rsid w:val="004876C1"/>
    <w:rsid w:val="00490A59"/>
    <w:rsid w:val="00490C01"/>
    <w:rsid w:val="0049190D"/>
    <w:rsid w:val="00493201"/>
    <w:rsid w:val="00493D9F"/>
    <w:rsid w:val="00493E26"/>
    <w:rsid w:val="00496582"/>
    <w:rsid w:val="0049716D"/>
    <w:rsid w:val="00497742"/>
    <w:rsid w:val="004A02F8"/>
    <w:rsid w:val="004A0625"/>
    <w:rsid w:val="004A1024"/>
    <w:rsid w:val="004A33A4"/>
    <w:rsid w:val="004A53E3"/>
    <w:rsid w:val="004A58A2"/>
    <w:rsid w:val="004A60E2"/>
    <w:rsid w:val="004A69C8"/>
    <w:rsid w:val="004A7004"/>
    <w:rsid w:val="004B0E35"/>
    <w:rsid w:val="004B1554"/>
    <w:rsid w:val="004B164D"/>
    <w:rsid w:val="004B3F1A"/>
    <w:rsid w:val="004B4802"/>
    <w:rsid w:val="004B560E"/>
    <w:rsid w:val="004B6C8B"/>
    <w:rsid w:val="004B7181"/>
    <w:rsid w:val="004C38D3"/>
    <w:rsid w:val="004C4B4D"/>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337C"/>
    <w:rsid w:val="004F483D"/>
    <w:rsid w:val="004F4DAD"/>
    <w:rsid w:val="004F57CD"/>
    <w:rsid w:val="004F6AF6"/>
    <w:rsid w:val="004F7AB7"/>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422B"/>
    <w:rsid w:val="00525053"/>
    <w:rsid w:val="00525A1A"/>
    <w:rsid w:val="00526421"/>
    <w:rsid w:val="005275BF"/>
    <w:rsid w:val="00527842"/>
    <w:rsid w:val="00527ECA"/>
    <w:rsid w:val="00530AA1"/>
    <w:rsid w:val="00532F08"/>
    <w:rsid w:val="00533CB5"/>
    <w:rsid w:val="00534785"/>
    <w:rsid w:val="00536ECE"/>
    <w:rsid w:val="005376B5"/>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18E"/>
    <w:rsid w:val="005A17D3"/>
    <w:rsid w:val="005A2644"/>
    <w:rsid w:val="005A3931"/>
    <w:rsid w:val="005A3F45"/>
    <w:rsid w:val="005A4027"/>
    <w:rsid w:val="005A56D1"/>
    <w:rsid w:val="005A5955"/>
    <w:rsid w:val="005A5A0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5AA"/>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5C33"/>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B5C"/>
    <w:rsid w:val="00713FCD"/>
    <w:rsid w:val="0071425B"/>
    <w:rsid w:val="007147A7"/>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EFA"/>
    <w:rsid w:val="007B6285"/>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FCE"/>
    <w:rsid w:val="007E766C"/>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66E"/>
    <w:rsid w:val="00871018"/>
    <w:rsid w:val="008716E7"/>
    <w:rsid w:val="00872D05"/>
    <w:rsid w:val="008734E2"/>
    <w:rsid w:val="00873C95"/>
    <w:rsid w:val="00874384"/>
    <w:rsid w:val="0087552D"/>
    <w:rsid w:val="00880188"/>
    <w:rsid w:val="0088144E"/>
    <w:rsid w:val="008815D5"/>
    <w:rsid w:val="0088226C"/>
    <w:rsid w:val="00882F60"/>
    <w:rsid w:val="00883E2E"/>
    <w:rsid w:val="008854EF"/>
    <w:rsid w:val="00886750"/>
    <w:rsid w:val="00887089"/>
    <w:rsid w:val="00890121"/>
    <w:rsid w:val="00890C31"/>
    <w:rsid w:val="00892627"/>
    <w:rsid w:val="00894748"/>
    <w:rsid w:val="00894C37"/>
    <w:rsid w:val="008968E2"/>
    <w:rsid w:val="008A09D6"/>
    <w:rsid w:val="008A0FE8"/>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52FE"/>
    <w:rsid w:val="008C69E5"/>
    <w:rsid w:val="008D00E5"/>
    <w:rsid w:val="008D0383"/>
    <w:rsid w:val="008D136E"/>
    <w:rsid w:val="008D2C7A"/>
    <w:rsid w:val="008D4F5B"/>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3A9C"/>
    <w:rsid w:val="008F4342"/>
    <w:rsid w:val="008F4894"/>
    <w:rsid w:val="008F4C45"/>
    <w:rsid w:val="008F56C7"/>
    <w:rsid w:val="008F5FED"/>
    <w:rsid w:val="008F63DE"/>
    <w:rsid w:val="008F6932"/>
    <w:rsid w:val="008F7278"/>
    <w:rsid w:val="008F7417"/>
    <w:rsid w:val="0090406D"/>
    <w:rsid w:val="00904441"/>
    <w:rsid w:val="00904768"/>
    <w:rsid w:val="009053AC"/>
    <w:rsid w:val="0090592C"/>
    <w:rsid w:val="00905DA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F2E"/>
    <w:rsid w:val="00961501"/>
    <w:rsid w:val="009615EA"/>
    <w:rsid w:val="00961EA6"/>
    <w:rsid w:val="00963557"/>
    <w:rsid w:val="00963ED4"/>
    <w:rsid w:val="00964DB8"/>
    <w:rsid w:val="0096510E"/>
    <w:rsid w:val="00966D10"/>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65C"/>
    <w:rsid w:val="009B51A5"/>
    <w:rsid w:val="009B52B1"/>
    <w:rsid w:val="009B66C8"/>
    <w:rsid w:val="009C0494"/>
    <w:rsid w:val="009C1DCE"/>
    <w:rsid w:val="009C2E4E"/>
    <w:rsid w:val="009C3805"/>
    <w:rsid w:val="009C555F"/>
    <w:rsid w:val="009C58BD"/>
    <w:rsid w:val="009C5A9D"/>
    <w:rsid w:val="009C5F1F"/>
    <w:rsid w:val="009D0310"/>
    <w:rsid w:val="009D0432"/>
    <w:rsid w:val="009D0AFE"/>
    <w:rsid w:val="009D124C"/>
    <w:rsid w:val="009D12CA"/>
    <w:rsid w:val="009D410A"/>
    <w:rsid w:val="009D49F1"/>
    <w:rsid w:val="009D4C56"/>
    <w:rsid w:val="009D548F"/>
    <w:rsid w:val="009D5D32"/>
    <w:rsid w:val="009D5F28"/>
    <w:rsid w:val="009D7962"/>
    <w:rsid w:val="009D7D67"/>
    <w:rsid w:val="009E1B7D"/>
    <w:rsid w:val="009E284C"/>
    <w:rsid w:val="009E353C"/>
    <w:rsid w:val="009E3E7A"/>
    <w:rsid w:val="009E4D4E"/>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42A8"/>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312FD"/>
    <w:rsid w:val="00A31A4F"/>
    <w:rsid w:val="00A31DA9"/>
    <w:rsid w:val="00A32592"/>
    <w:rsid w:val="00A33DBD"/>
    <w:rsid w:val="00A36D5D"/>
    <w:rsid w:val="00A370A3"/>
    <w:rsid w:val="00A37CDA"/>
    <w:rsid w:val="00A40206"/>
    <w:rsid w:val="00A41843"/>
    <w:rsid w:val="00A41C41"/>
    <w:rsid w:val="00A44422"/>
    <w:rsid w:val="00A4458E"/>
    <w:rsid w:val="00A45B3B"/>
    <w:rsid w:val="00A45E50"/>
    <w:rsid w:val="00A46D85"/>
    <w:rsid w:val="00A471C7"/>
    <w:rsid w:val="00A504CC"/>
    <w:rsid w:val="00A50C45"/>
    <w:rsid w:val="00A50EC7"/>
    <w:rsid w:val="00A51C2B"/>
    <w:rsid w:val="00A51DCE"/>
    <w:rsid w:val="00A53A92"/>
    <w:rsid w:val="00A54DAA"/>
    <w:rsid w:val="00A55F52"/>
    <w:rsid w:val="00A57284"/>
    <w:rsid w:val="00A6383F"/>
    <w:rsid w:val="00A64837"/>
    <w:rsid w:val="00A6564E"/>
    <w:rsid w:val="00A65CA5"/>
    <w:rsid w:val="00A65DA1"/>
    <w:rsid w:val="00A6646D"/>
    <w:rsid w:val="00A664F4"/>
    <w:rsid w:val="00A66C0A"/>
    <w:rsid w:val="00A67239"/>
    <w:rsid w:val="00A674A0"/>
    <w:rsid w:val="00A7005F"/>
    <w:rsid w:val="00A70BD8"/>
    <w:rsid w:val="00A7230B"/>
    <w:rsid w:val="00A75032"/>
    <w:rsid w:val="00A771FE"/>
    <w:rsid w:val="00A77903"/>
    <w:rsid w:val="00A80A21"/>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EB8"/>
    <w:rsid w:val="00AA7877"/>
    <w:rsid w:val="00AA7F3B"/>
    <w:rsid w:val="00AB1BC5"/>
    <w:rsid w:val="00AB34FB"/>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D78EC"/>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5F6"/>
    <w:rsid w:val="00B417FD"/>
    <w:rsid w:val="00B4221C"/>
    <w:rsid w:val="00B42441"/>
    <w:rsid w:val="00B443CB"/>
    <w:rsid w:val="00B460C7"/>
    <w:rsid w:val="00B47F23"/>
    <w:rsid w:val="00B50FC3"/>
    <w:rsid w:val="00B51AB0"/>
    <w:rsid w:val="00B528E7"/>
    <w:rsid w:val="00B536BA"/>
    <w:rsid w:val="00B55CB0"/>
    <w:rsid w:val="00B566E5"/>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1D"/>
    <w:rsid w:val="00B765D6"/>
    <w:rsid w:val="00B7699A"/>
    <w:rsid w:val="00B83049"/>
    <w:rsid w:val="00B833CC"/>
    <w:rsid w:val="00B84571"/>
    <w:rsid w:val="00B85144"/>
    <w:rsid w:val="00B8520A"/>
    <w:rsid w:val="00B875E8"/>
    <w:rsid w:val="00B87B57"/>
    <w:rsid w:val="00B919B5"/>
    <w:rsid w:val="00B92833"/>
    <w:rsid w:val="00B93A3A"/>
    <w:rsid w:val="00B94456"/>
    <w:rsid w:val="00B977B8"/>
    <w:rsid w:val="00BA0471"/>
    <w:rsid w:val="00BA0BC2"/>
    <w:rsid w:val="00BA0C2D"/>
    <w:rsid w:val="00BA0C40"/>
    <w:rsid w:val="00BA10DA"/>
    <w:rsid w:val="00BA1FB2"/>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3D99"/>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914DD"/>
    <w:rsid w:val="00C92E08"/>
    <w:rsid w:val="00C93C9B"/>
    <w:rsid w:val="00C97052"/>
    <w:rsid w:val="00CA04BA"/>
    <w:rsid w:val="00CA0EF2"/>
    <w:rsid w:val="00CA1F0F"/>
    <w:rsid w:val="00CA3241"/>
    <w:rsid w:val="00CA32E2"/>
    <w:rsid w:val="00CA4BCA"/>
    <w:rsid w:val="00CA4E94"/>
    <w:rsid w:val="00CA4F43"/>
    <w:rsid w:val="00CA57EB"/>
    <w:rsid w:val="00CA6217"/>
    <w:rsid w:val="00CA6B9D"/>
    <w:rsid w:val="00CA6C3F"/>
    <w:rsid w:val="00CA7ABB"/>
    <w:rsid w:val="00CA7D92"/>
    <w:rsid w:val="00CA7E0F"/>
    <w:rsid w:val="00CB073D"/>
    <w:rsid w:val="00CB11E9"/>
    <w:rsid w:val="00CB12EF"/>
    <w:rsid w:val="00CB1B4F"/>
    <w:rsid w:val="00CB211F"/>
    <w:rsid w:val="00CB252A"/>
    <w:rsid w:val="00CB3139"/>
    <w:rsid w:val="00CB36B1"/>
    <w:rsid w:val="00CB3C42"/>
    <w:rsid w:val="00CB449E"/>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628"/>
    <w:rsid w:val="00D12991"/>
    <w:rsid w:val="00D1340E"/>
    <w:rsid w:val="00D14739"/>
    <w:rsid w:val="00D147C8"/>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1CE9"/>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3A1B"/>
    <w:rsid w:val="00D749FB"/>
    <w:rsid w:val="00D76700"/>
    <w:rsid w:val="00D76E1B"/>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96B65"/>
    <w:rsid w:val="00DA1147"/>
    <w:rsid w:val="00DA247F"/>
    <w:rsid w:val="00DA3940"/>
    <w:rsid w:val="00DA4CC1"/>
    <w:rsid w:val="00DA6E91"/>
    <w:rsid w:val="00DA7BE5"/>
    <w:rsid w:val="00DB0303"/>
    <w:rsid w:val="00DB1A75"/>
    <w:rsid w:val="00DB2789"/>
    <w:rsid w:val="00DB302D"/>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437"/>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309"/>
    <w:rsid w:val="00E5066F"/>
    <w:rsid w:val="00E5087F"/>
    <w:rsid w:val="00E5133F"/>
    <w:rsid w:val="00E5283D"/>
    <w:rsid w:val="00E5343A"/>
    <w:rsid w:val="00E53ECF"/>
    <w:rsid w:val="00E53F12"/>
    <w:rsid w:val="00E543D4"/>
    <w:rsid w:val="00E5539A"/>
    <w:rsid w:val="00E5547A"/>
    <w:rsid w:val="00E55559"/>
    <w:rsid w:val="00E564E8"/>
    <w:rsid w:val="00E56932"/>
    <w:rsid w:val="00E56DB9"/>
    <w:rsid w:val="00E61073"/>
    <w:rsid w:val="00E6303E"/>
    <w:rsid w:val="00E637D2"/>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3E1B"/>
    <w:rsid w:val="00E84FC9"/>
    <w:rsid w:val="00E84FF0"/>
    <w:rsid w:val="00E8516C"/>
    <w:rsid w:val="00E8634B"/>
    <w:rsid w:val="00E86A7A"/>
    <w:rsid w:val="00E879BD"/>
    <w:rsid w:val="00E90A78"/>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E08E6"/>
    <w:rsid w:val="00EE0AD6"/>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71F5"/>
    <w:rsid w:val="00F20D6F"/>
    <w:rsid w:val="00F2547E"/>
    <w:rsid w:val="00F2559E"/>
    <w:rsid w:val="00F2621C"/>
    <w:rsid w:val="00F2707F"/>
    <w:rsid w:val="00F27E75"/>
    <w:rsid w:val="00F301AF"/>
    <w:rsid w:val="00F30D8F"/>
    <w:rsid w:val="00F3152F"/>
    <w:rsid w:val="00F34BD4"/>
    <w:rsid w:val="00F368AB"/>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3566"/>
    <w:rsid w:val="00F53681"/>
    <w:rsid w:val="00F55C5F"/>
    <w:rsid w:val="00F604BD"/>
    <w:rsid w:val="00F60B3B"/>
    <w:rsid w:val="00F61BE6"/>
    <w:rsid w:val="00F61C12"/>
    <w:rsid w:val="00F61E1F"/>
    <w:rsid w:val="00F62412"/>
    <w:rsid w:val="00F62D8C"/>
    <w:rsid w:val="00F6392F"/>
    <w:rsid w:val="00F64F32"/>
    <w:rsid w:val="00F653A3"/>
    <w:rsid w:val="00F658EC"/>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2987"/>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768"/>
    <w:rsid w:val="00FF303D"/>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4F5B"/>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8D4F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4F5B"/>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4F5B"/>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8D4F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4F5B"/>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289429017">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11053-4EF5-4A30-ABC0-732791967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986</Words>
  <Characters>5625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6598</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MåS_no_TU</cp:lastModifiedBy>
  <cp:revision>4</cp:revision>
  <cp:lastPrinted>2013-02-08T15:42:00Z</cp:lastPrinted>
  <dcterms:created xsi:type="dcterms:W3CDTF">2014-08-21T11:21:00Z</dcterms:created>
  <dcterms:modified xsi:type="dcterms:W3CDTF">2014-08-21T19:52:00Z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